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884" w:rsidRDefault="00951884" w:rsidP="00951884">
      <w:pPr>
        <w:jc w:val="center"/>
        <w:outlineLvl w:val="0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Лимерики – как элемент ТРИЗ в работе с детьми дошкольного возраста</w:t>
      </w:r>
    </w:p>
    <w:p w:rsidR="00951884" w:rsidRDefault="00951884" w:rsidP="00951884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Приоритет в своей работе с детьми я отвожу использованию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FF00FF"/>
          <w:sz w:val="28"/>
          <w:szCs w:val="28"/>
        </w:rPr>
        <w:t>технологии ТРИЗ – теория  решения изобретательных задач.</w:t>
      </w:r>
      <w:r>
        <w:rPr>
          <w:b/>
          <w:i/>
          <w:sz w:val="28"/>
          <w:szCs w:val="28"/>
        </w:rPr>
        <w:t xml:space="preserve"> 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>формировать умение составлять рифмовки - лимерики (короткое стихотворение – небылицу).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Задачи.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Образовательные:</w:t>
      </w:r>
      <w:r>
        <w:rPr>
          <w:sz w:val="28"/>
          <w:szCs w:val="28"/>
        </w:rPr>
        <w:t xml:space="preserve">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учить детей находить рифмующие между собой слова,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обогащать словарный запас за счет рифмованных слов</w:t>
      </w:r>
    </w:p>
    <w:p w:rsidR="00951884" w:rsidRDefault="00951884" w:rsidP="00951884">
      <w:pPr>
        <w:jc w:val="both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Развиваюшие</w:t>
      </w:r>
      <w:proofErr w:type="spellEnd"/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развивать логическое мышление, воображение умение строить связные высказывания типа рассуждений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развивать свободное общение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 и сверстниками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Воспитательные: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воспитывать доброжелательное отношение друг к другу, желание помогать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побуждать детей решать конфликтные ситуации с помощью бесед, разговоров 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повышать эмоциональный настрой у детей, уверенность в себе</w:t>
      </w:r>
    </w:p>
    <w:p w:rsidR="00951884" w:rsidRDefault="00951884" w:rsidP="00951884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-развивать коммуникативные способности детей, умение работать парами, договариваться и принимать общее решение</w:t>
      </w:r>
    </w:p>
    <w:p w:rsidR="00951884" w:rsidRDefault="00951884" w:rsidP="009518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Основная</w:t>
      </w:r>
      <w:r>
        <w:rPr>
          <w:sz w:val="28"/>
          <w:szCs w:val="28"/>
        </w:rPr>
        <w:t xml:space="preserve"> предшествующая работа по созданию лимериков началась в средней группе  </w:t>
      </w:r>
    </w:p>
    <w:p w:rsidR="00951884" w:rsidRDefault="00951884" w:rsidP="00951884">
      <w:pPr>
        <w:rPr>
          <w:sz w:val="28"/>
          <w:szCs w:val="28"/>
        </w:rPr>
      </w:pPr>
      <w:r>
        <w:rPr>
          <w:b/>
          <w:color w:val="FF00FF"/>
          <w:sz w:val="28"/>
          <w:szCs w:val="28"/>
        </w:rPr>
        <w:t>1 часть</w:t>
      </w:r>
      <w:r>
        <w:rPr>
          <w:sz w:val="28"/>
          <w:szCs w:val="28"/>
        </w:rPr>
        <w:t>: Из разнообразных картинок с изображением предметов, мы учили детей подбирать те картинки</w:t>
      </w:r>
      <w:r>
        <w:rPr>
          <w:color w:val="FF00FF"/>
          <w:sz w:val="28"/>
          <w:szCs w:val="28"/>
        </w:rPr>
        <w:t xml:space="preserve">, </w:t>
      </w:r>
      <w:r>
        <w:rPr>
          <w:b/>
          <w:color w:val="FF00FF"/>
          <w:sz w:val="28"/>
          <w:szCs w:val="28"/>
        </w:rPr>
        <w:t>которые рифмуются</w:t>
      </w:r>
      <w:r>
        <w:rPr>
          <w:sz w:val="28"/>
          <w:szCs w:val="28"/>
        </w:rPr>
        <w:t>, например: мак-рак, роза-береза, ножка-картошка. Это упражнение можно начинать с 5 картинок, постепенно увеличивая количество.</w:t>
      </w:r>
    </w:p>
    <w:p w:rsidR="00951884" w:rsidRDefault="00951884" w:rsidP="00951884">
      <w:pPr>
        <w:rPr>
          <w:sz w:val="28"/>
          <w:szCs w:val="28"/>
        </w:rPr>
      </w:pPr>
      <w:r>
        <w:rPr>
          <w:b/>
          <w:bCs/>
          <w:color w:val="FF00FF"/>
          <w:sz w:val="28"/>
          <w:szCs w:val="28"/>
        </w:rPr>
        <w:t>2 часть: Работа над загадками. «Что (кто) делает так же?»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Учить детей выявлять признаки объекта (функция, части). Учить составлять загадки по моделям «Как…, но не…», «Какой… - что такое же у другого объекта», «Что делает так же?»</w:t>
      </w:r>
    </w:p>
    <w:p w:rsidR="00951884" w:rsidRDefault="00951884" w:rsidP="0095188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Ведущий называет объект. Дети выделяют его действия. Предлагается перечислить объекты, у которых названное действие ярко выражено. - Воробей что делает? - Прыгает, как кузнечик, суетится, как мышь. Из предложенных вариантов составляется текст загадки: «Прыгает, но не кузнечик, суетится, но не мышка». Проводится со среднего возраста.</w:t>
      </w:r>
    </w:p>
    <w:p w:rsidR="00951884" w:rsidRDefault="00951884" w:rsidP="00951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Я предлагаю для развития словесного творчества одаренных детей использовать лимерик. Лимерик - короткое стихотворение, состоящее, как правило, из пяти строк, написанное в жанре нонсенса (узаконенной нелепицы). Такие рифмованные тексты начали сочинять в Ирландском городе Лимерик. Непревзойденным мастером этого жанра можно считать поэта и художника Эдварда Лира (1812 - 1888). </w:t>
      </w:r>
    </w:p>
    <w:tbl>
      <w:tblPr>
        <w:tblW w:w="0" w:type="auto"/>
        <w:tblCellSpacing w:w="15" w:type="dxa"/>
        <w:tblInd w:w="45" w:type="dxa"/>
        <w:tblLook w:val="04A0"/>
      </w:tblPr>
      <w:tblGrid>
        <w:gridCol w:w="1440"/>
        <w:gridCol w:w="2989"/>
      </w:tblGrid>
      <w:tr w:rsidR="00951884" w:rsidTr="000730F2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> 1строчка</w:t>
            </w:r>
          </w:p>
        </w:tc>
        <w:tc>
          <w:tcPr>
            <w:tcW w:w="2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 xml:space="preserve">  Жил (а</w:t>
            </w:r>
            <w:proofErr w:type="gramStart"/>
            <w:r>
              <w:rPr>
                <w:b/>
                <w:i/>
                <w:color w:val="FF00FF"/>
                <w:sz w:val="28"/>
                <w:szCs w:val="28"/>
              </w:rPr>
              <w:t>)-</w:t>
            </w:r>
            <w:proofErr w:type="gramEnd"/>
            <w:r>
              <w:rPr>
                <w:b/>
                <w:i/>
                <w:color w:val="FF00FF"/>
                <w:sz w:val="28"/>
                <w:szCs w:val="28"/>
              </w:rPr>
              <w:t>был (а) предмет: объект или субъект</w:t>
            </w:r>
          </w:p>
        </w:tc>
      </w:tr>
      <w:tr w:rsidR="00951884" w:rsidTr="000730F2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lastRenderedPageBreak/>
              <w:t>2 строчка</w:t>
            </w:r>
          </w:p>
        </w:tc>
        <w:tc>
          <w:tcPr>
            <w:tcW w:w="2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 xml:space="preserve"> Свойства предмета, сравнение предмета с кем-то или с чем-то</w:t>
            </w:r>
          </w:p>
        </w:tc>
      </w:tr>
      <w:tr w:rsidR="00951884" w:rsidTr="000730F2">
        <w:trPr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>3 строчка</w:t>
            </w:r>
          </w:p>
        </w:tc>
        <w:tc>
          <w:tcPr>
            <w:tcW w:w="2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 xml:space="preserve"> Необычные действия предмета, обычные действия предмета</w:t>
            </w:r>
          </w:p>
        </w:tc>
      </w:tr>
      <w:tr w:rsidR="00951884" w:rsidTr="000730F2">
        <w:trPr>
          <w:trHeight w:val="503"/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>4 строчка</w:t>
            </w:r>
          </w:p>
        </w:tc>
        <w:tc>
          <w:tcPr>
            <w:tcW w:w="2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 xml:space="preserve"> взаимодействия с другими предметами</w:t>
            </w:r>
          </w:p>
        </w:tc>
      </w:tr>
      <w:tr w:rsidR="00951884" w:rsidTr="000730F2">
        <w:trPr>
          <w:trHeight w:val="50"/>
          <w:tblCellSpacing w:w="15" w:type="dxa"/>
        </w:trPr>
        <w:tc>
          <w:tcPr>
            <w:tcW w:w="1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>5 строчка</w:t>
            </w:r>
          </w:p>
        </w:tc>
        <w:tc>
          <w:tcPr>
            <w:tcW w:w="2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884" w:rsidRDefault="00951884" w:rsidP="000730F2">
            <w:pPr>
              <w:rPr>
                <w:rFonts w:eastAsia="Calibri"/>
                <w:b/>
                <w:i/>
                <w:color w:val="FF00FF"/>
                <w:sz w:val="28"/>
                <w:szCs w:val="28"/>
              </w:rPr>
            </w:pPr>
            <w:r>
              <w:rPr>
                <w:b/>
                <w:i/>
                <w:color w:val="FF00FF"/>
                <w:sz w:val="28"/>
                <w:szCs w:val="28"/>
              </w:rPr>
              <w:t xml:space="preserve">  Вывод (утверждение или мораль)</w:t>
            </w:r>
          </w:p>
        </w:tc>
      </w:tr>
    </w:tbl>
    <w:p w:rsidR="00951884" w:rsidRDefault="00951884" w:rsidP="00951884">
      <w:pPr>
        <w:rPr>
          <w:rFonts w:eastAsia="Calibri"/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Ворона-корона</w:t>
      </w:r>
    </w:p>
    <w:p w:rsidR="00951884" w:rsidRDefault="00951884" w:rsidP="00951884">
      <w:pPr>
        <w:tabs>
          <w:tab w:val="left" w:pos="6795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Жила-была ворона</w:t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повстречала корону</w:t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Зачем же вороне корона?</w:t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она просто ворона.</w:t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</w:p>
    <w:p w:rsidR="00951884" w:rsidRDefault="00951884" w:rsidP="00951884">
      <w:pPr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lastRenderedPageBreak/>
        <w:t>МДОУ «Детский сад № 44 Радость»</w:t>
      </w:r>
    </w:p>
    <w:p w:rsidR="00951884" w:rsidRDefault="00951884" w:rsidP="00951884">
      <w:pPr>
        <w:jc w:val="center"/>
        <w:rPr>
          <w:color w:val="3366FF"/>
          <w:sz w:val="28"/>
          <w:szCs w:val="28"/>
        </w:rPr>
      </w:pPr>
      <w:r>
        <w:rPr>
          <w:color w:val="3366FF"/>
          <w:sz w:val="28"/>
          <w:szCs w:val="28"/>
        </w:rPr>
        <w:t>г. Георгиевска</w:t>
      </w:r>
    </w:p>
    <w:p w:rsidR="00951884" w:rsidRDefault="00951884" w:rsidP="00951884">
      <w:pPr>
        <w:jc w:val="center"/>
        <w:rPr>
          <w:color w:val="3366FF"/>
        </w:rPr>
      </w:pPr>
    </w:p>
    <w:p w:rsidR="00951884" w:rsidRDefault="00951884" w:rsidP="00951884">
      <w:pPr>
        <w:jc w:val="center"/>
        <w:rPr>
          <w:noProof/>
          <w:color w:val="3366FF"/>
        </w:rPr>
      </w:pPr>
    </w:p>
    <w:p w:rsidR="00951884" w:rsidRDefault="00951884" w:rsidP="00951884">
      <w:pPr>
        <w:jc w:val="center"/>
        <w:rPr>
          <w:noProof/>
          <w:color w:val="3366FF"/>
        </w:rPr>
      </w:pPr>
    </w:p>
    <w:p w:rsidR="00951884" w:rsidRDefault="00951884" w:rsidP="00951884">
      <w:pPr>
        <w:jc w:val="center"/>
        <w:rPr>
          <w:noProof/>
          <w:color w:val="3366FF"/>
        </w:rPr>
      </w:pPr>
    </w:p>
    <w:p w:rsidR="00951884" w:rsidRDefault="00951884" w:rsidP="00951884">
      <w:pPr>
        <w:jc w:val="center"/>
        <w:rPr>
          <w:color w:val="3366FF"/>
        </w:rPr>
      </w:pPr>
      <w:r>
        <w:rPr>
          <w:noProof/>
          <w:color w:val="3366FF"/>
        </w:rPr>
        <w:drawing>
          <wp:inline distT="0" distB="0" distL="0" distR="0">
            <wp:extent cx="1495425" cy="1304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опыта работы</w:t>
      </w:r>
    </w:p>
    <w:p w:rsidR="00951884" w:rsidRDefault="00951884" w:rsidP="00951884">
      <w:pPr>
        <w:jc w:val="center"/>
        <w:outlineLvl w:val="0"/>
        <w:rPr>
          <w:b/>
          <w:color w:val="FF00FF"/>
          <w:sz w:val="28"/>
          <w:szCs w:val="28"/>
        </w:rPr>
      </w:pPr>
    </w:p>
    <w:p w:rsidR="00951884" w:rsidRDefault="00951884" w:rsidP="00951884">
      <w:pPr>
        <w:jc w:val="center"/>
        <w:outlineLvl w:val="0"/>
        <w:rPr>
          <w:b/>
          <w:color w:val="FF00FF"/>
          <w:sz w:val="28"/>
          <w:szCs w:val="28"/>
        </w:rPr>
      </w:pPr>
      <w:r>
        <w:rPr>
          <w:b/>
          <w:color w:val="FF00FF"/>
          <w:sz w:val="28"/>
          <w:szCs w:val="28"/>
        </w:rPr>
        <w:t>По теме: Лимерики – как элемент ТРИЗ в работе с детьми дошкольного возраста</w:t>
      </w: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tabs>
          <w:tab w:val="left" w:pos="6795"/>
        </w:tabs>
        <w:ind w:firstLine="709"/>
        <w:jc w:val="both"/>
        <w:rPr>
          <w:sz w:val="28"/>
          <w:szCs w:val="28"/>
        </w:rPr>
      </w:pPr>
    </w:p>
    <w:p w:rsidR="00951884" w:rsidRDefault="00951884" w:rsidP="00951884">
      <w:pPr>
        <w:jc w:val="center"/>
        <w:rPr>
          <w:b/>
          <w:i/>
          <w:color w:val="1F497D"/>
          <w:sz w:val="28"/>
          <w:szCs w:val="28"/>
        </w:rPr>
      </w:pPr>
    </w:p>
    <w:p w:rsidR="00951884" w:rsidRDefault="00951884" w:rsidP="00951884">
      <w:pPr>
        <w:jc w:val="center"/>
        <w:rPr>
          <w:b/>
          <w:color w:val="1F497D"/>
          <w:sz w:val="28"/>
          <w:szCs w:val="28"/>
        </w:rPr>
      </w:pPr>
      <w:r>
        <w:rPr>
          <w:b/>
          <w:color w:val="1F497D"/>
          <w:sz w:val="28"/>
          <w:szCs w:val="28"/>
        </w:rPr>
        <w:t>Воспитатель: Воровская Н. Е.</w:t>
      </w:r>
    </w:p>
    <w:p w:rsidR="00951884" w:rsidRDefault="00951884" w:rsidP="00951884">
      <w:pPr>
        <w:jc w:val="center"/>
        <w:rPr>
          <w:b/>
          <w:color w:val="1F497D"/>
          <w:sz w:val="28"/>
          <w:szCs w:val="28"/>
        </w:rPr>
      </w:pPr>
    </w:p>
    <w:p w:rsidR="00951884" w:rsidRDefault="00951884" w:rsidP="00951884"/>
    <w:p w:rsidR="00CC56E3" w:rsidRDefault="00951884"/>
    <w:sectPr w:rsidR="00CC56E3" w:rsidSect="0017547A">
      <w:headerReference w:type="default" r:id="rId6"/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7A" w:rsidRDefault="00951884">
    <w:pPr>
      <w:pStyle w:val="a4"/>
    </w:pPr>
  </w:p>
  <w:p w:rsidR="0017547A" w:rsidRDefault="00951884">
    <w:pPr>
      <w:pStyle w:val="a4"/>
    </w:pPr>
  </w:p>
  <w:p w:rsidR="0017547A" w:rsidRDefault="0095188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884"/>
    <w:rsid w:val="00860561"/>
    <w:rsid w:val="009414EC"/>
    <w:rsid w:val="00951884"/>
    <w:rsid w:val="00F86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5188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5188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18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18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8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F8839-8CA1-4697-B2FC-BAC06D009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2025-01-22T10:54:00Z</dcterms:created>
  <dcterms:modified xsi:type="dcterms:W3CDTF">2025-01-22T10:56:00Z</dcterms:modified>
</cp:coreProperties>
</file>